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Ansi="宋体"/>
          <w:b/>
          <w:sz w:val="44"/>
          <w:szCs w:val="44"/>
        </w:rPr>
      </w:pPr>
    </w:p>
    <w:p>
      <w:pPr>
        <w:spacing w:line="480" w:lineRule="exact"/>
        <w:jc w:val="center"/>
        <w:rPr>
          <w:b/>
          <w:sz w:val="44"/>
          <w:szCs w:val="44"/>
        </w:rPr>
      </w:pPr>
      <w:r>
        <w:rPr>
          <w:rFonts w:hAnsi="宋体"/>
          <w:b/>
          <w:sz w:val="44"/>
          <w:szCs w:val="44"/>
        </w:rPr>
        <w:t>中国石化仪征化纤公司</w:t>
      </w:r>
      <w:r>
        <w:rPr>
          <w:rFonts w:hint="eastAsia" w:hAnsi="宋体"/>
          <w:b/>
          <w:sz w:val="44"/>
          <w:szCs w:val="44"/>
        </w:rPr>
        <w:t>招聘简章</w:t>
      </w:r>
    </w:p>
    <w:p>
      <w:pPr>
        <w:spacing w:line="480" w:lineRule="exact"/>
        <w:ind w:firstLine="600" w:firstLineChars="200"/>
        <w:rPr>
          <w:rFonts w:eastAsia="仿宋_GB2312"/>
          <w:sz w:val="30"/>
          <w:szCs w:val="30"/>
        </w:rPr>
      </w:pPr>
    </w:p>
    <w:p>
      <w:pPr>
        <w:spacing w:line="360" w:lineRule="auto"/>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公司简介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中国石化仪征化纤有限责任公司（简称“仪征化纤”）是中国石化的全资子公司，位于江苏仪征，东临历史文化名城扬州，西毗六朝古都南京，是宁镇扬大都市区几何中心。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仪征化纤创建于1978年，是改革开</w:t>
      </w:r>
      <w:bookmarkStart w:id="0" w:name="_GoBack"/>
      <w:bookmarkEnd w:id="0"/>
      <w:r>
        <w:rPr>
          <w:rFonts w:hint="eastAsia" w:ascii="仿宋_GB2312" w:eastAsia="仿宋_GB2312"/>
          <w:sz w:val="32"/>
          <w:szCs w:val="32"/>
        </w:rPr>
        <w:t>放路线指引下建设和发展起来的特大型化纤和化纤原料生产基地，是中高端聚酯和特种纤维的研发和生产基地，为我国聚酯工业发展作出了历史性贡献。当前，公司围绕中国石化“一基两翼三新”产业格局，为进一步强链、补链，朝着打造芳烃下游产业链示范基地和特种纤维研发生产基地的目标阔步迈进。</w:t>
      </w:r>
    </w:p>
    <w:p>
      <w:pPr>
        <w:numPr>
          <w:ilvl w:val="0"/>
          <w:numId w:val="1"/>
        </w:numPr>
        <w:spacing w:line="360" w:lineRule="auto"/>
        <w:ind w:firstLine="640" w:firstLineChars="200"/>
        <w:rPr>
          <w:rFonts w:ascii="黑体" w:hAnsi="宋体" w:eastAsia="黑体"/>
          <w:kern w:val="0"/>
          <w:sz w:val="32"/>
          <w:szCs w:val="32"/>
        </w:rPr>
      </w:pPr>
      <w:r>
        <w:rPr>
          <w:rFonts w:ascii="黑体" w:hAnsi="宋体" w:eastAsia="黑体"/>
          <w:kern w:val="0"/>
          <w:sz w:val="32"/>
          <w:szCs w:val="32"/>
        </w:rPr>
        <w:t>招聘岗位</w:t>
      </w:r>
    </w:p>
    <w:p>
      <w:pPr>
        <w:ind w:firstLine="640" w:firstLineChars="200"/>
        <w:rPr>
          <w:rFonts w:ascii="黑体" w:hAnsi="宋体" w:eastAsia="黑体"/>
          <w:kern w:val="0"/>
          <w:sz w:val="32"/>
          <w:szCs w:val="32"/>
        </w:rPr>
      </w:pPr>
      <w:r>
        <w:rPr>
          <w:rFonts w:hint="eastAsia" w:ascii="仿宋_GB2312" w:eastAsia="仿宋_GB2312"/>
          <w:sz w:val="32"/>
          <w:szCs w:val="32"/>
        </w:rPr>
        <w:t>公司</w:t>
      </w:r>
      <w:r>
        <w:rPr>
          <w:rFonts w:hint="eastAsia" w:ascii="仿宋_GB2312" w:eastAsia="仿宋_GB2312"/>
          <w:sz w:val="32"/>
          <w:szCs w:val="32"/>
          <w:lang w:val="en-US" w:eastAsia="zh-CN"/>
        </w:rPr>
        <w:t>招聘</w:t>
      </w:r>
      <w:r>
        <w:rPr>
          <w:rFonts w:hint="eastAsia" w:ascii="仿宋_GB2312" w:eastAsia="仿宋_GB2312"/>
          <w:sz w:val="32"/>
          <w:szCs w:val="32"/>
        </w:rPr>
        <w:t>指标为2</w:t>
      </w:r>
      <w:r>
        <w:rPr>
          <w:rFonts w:ascii="仿宋_GB2312" w:eastAsia="仿宋_GB2312"/>
          <w:sz w:val="32"/>
          <w:szCs w:val="32"/>
        </w:rPr>
        <w:t>5</w:t>
      </w:r>
      <w:r>
        <w:rPr>
          <w:rFonts w:hint="eastAsia" w:ascii="仿宋_GB2312" w:eastAsia="仿宋_GB2312"/>
          <w:sz w:val="32"/>
          <w:szCs w:val="32"/>
        </w:rPr>
        <w:t>0人，其中研究生</w:t>
      </w:r>
      <w:r>
        <w:rPr>
          <w:rFonts w:ascii="仿宋_GB2312" w:eastAsia="仿宋_GB2312"/>
          <w:sz w:val="32"/>
          <w:szCs w:val="32"/>
        </w:rPr>
        <w:t>60</w:t>
      </w:r>
      <w:r>
        <w:rPr>
          <w:rFonts w:hint="eastAsia" w:ascii="仿宋_GB2312" w:eastAsia="仿宋_GB2312"/>
          <w:sz w:val="32"/>
          <w:szCs w:val="32"/>
        </w:rPr>
        <w:t>人，本科生</w:t>
      </w:r>
      <w:r>
        <w:rPr>
          <w:rFonts w:ascii="仿宋_GB2312" w:eastAsia="仿宋_GB2312"/>
          <w:sz w:val="32"/>
          <w:szCs w:val="32"/>
        </w:rPr>
        <w:t>55</w:t>
      </w:r>
      <w:r>
        <w:rPr>
          <w:rFonts w:hint="eastAsia" w:ascii="仿宋_GB2312" w:eastAsia="仿宋_GB2312"/>
          <w:sz w:val="32"/>
          <w:szCs w:val="32"/>
        </w:rPr>
        <w:t>人，大专1</w:t>
      </w:r>
      <w:r>
        <w:rPr>
          <w:rFonts w:ascii="仿宋_GB2312" w:eastAsia="仿宋_GB2312"/>
          <w:sz w:val="32"/>
          <w:szCs w:val="32"/>
        </w:rPr>
        <w:t>35</w:t>
      </w:r>
      <w:r>
        <w:rPr>
          <w:rFonts w:hint="eastAsia" w:ascii="仿宋_GB2312" w:eastAsia="仿宋_GB2312"/>
          <w:sz w:val="32"/>
          <w:szCs w:val="32"/>
        </w:rPr>
        <w:t>人。</w:t>
      </w:r>
      <w:r>
        <w:rPr>
          <w:rFonts w:hint="eastAsia" w:ascii="仿宋_GB2312" w:eastAsia="仿宋_GB2312"/>
          <w:sz w:val="32"/>
          <w:szCs w:val="32"/>
          <w:lang w:val="en-US" w:eastAsia="zh-CN"/>
        </w:rPr>
        <w:t>大专生</w:t>
      </w:r>
      <w:r>
        <w:rPr>
          <w:rFonts w:hint="eastAsia" w:ascii="仿宋_GB2312" w:eastAsia="仿宋_GB2312"/>
          <w:sz w:val="32"/>
          <w:szCs w:val="32"/>
        </w:rPr>
        <w:t>招聘计划如下：</w:t>
      </w:r>
    </w:p>
    <w:tbl>
      <w:tblPr>
        <w:tblStyle w:val="6"/>
        <w:tblW w:w="9377" w:type="dxa"/>
        <w:jc w:val="center"/>
        <w:tblLayout w:type="fixed"/>
        <w:tblCellMar>
          <w:top w:w="0" w:type="dxa"/>
          <w:left w:w="108" w:type="dxa"/>
          <w:bottom w:w="0" w:type="dxa"/>
          <w:right w:w="108" w:type="dxa"/>
        </w:tblCellMar>
      </w:tblPr>
      <w:tblGrid>
        <w:gridCol w:w="628"/>
        <w:gridCol w:w="1488"/>
        <w:gridCol w:w="538"/>
        <w:gridCol w:w="885"/>
        <w:gridCol w:w="1039"/>
        <w:gridCol w:w="4799"/>
      </w:tblGrid>
      <w:tr>
        <w:tblPrEx>
          <w:tblCellMar>
            <w:top w:w="0" w:type="dxa"/>
            <w:left w:w="108" w:type="dxa"/>
            <w:bottom w:w="0" w:type="dxa"/>
            <w:right w:w="108" w:type="dxa"/>
          </w:tblCellMar>
        </w:tblPrEx>
        <w:trPr>
          <w:trHeight w:val="744" w:hRule="atLeast"/>
          <w:jc w:val="center"/>
        </w:trPr>
        <w:tc>
          <w:tcPr>
            <w:tcW w:w="62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18"/>
              </w:rPr>
            </w:pPr>
            <w:r>
              <w:rPr>
                <w:rFonts w:hint="eastAsia" w:ascii="宋体" w:hAnsi="宋体"/>
                <w:b/>
                <w:color w:val="000000"/>
                <w:sz w:val="18"/>
              </w:rPr>
              <w:t>序号</w:t>
            </w:r>
          </w:p>
        </w:tc>
        <w:tc>
          <w:tcPr>
            <w:tcW w:w="1488"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b/>
                <w:color w:val="000000"/>
                <w:sz w:val="18"/>
              </w:rPr>
            </w:pPr>
            <w:r>
              <w:rPr>
                <w:rFonts w:hint="eastAsia" w:ascii="宋体" w:hAnsi="宋体"/>
                <w:b/>
                <w:color w:val="000000"/>
                <w:sz w:val="18"/>
              </w:rPr>
              <w:t>招聘岗位</w:t>
            </w:r>
          </w:p>
        </w:tc>
        <w:tc>
          <w:tcPr>
            <w:tcW w:w="538"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b/>
                <w:color w:val="000000"/>
                <w:sz w:val="18"/>
              </w:rPr>
            </w:pPr>
            <w:r>
              <w:rPr>
                <w:rFonts w:hint="eastAsia" w:ascii="宋体" w:hAnsi="宋体"/>
                <w:b/>
                <w:color w:val="000000"/>
                <w:sz w:val="18"/>
              </w:rPr>
              <w:t>人数</w:t>
            </w:r>
          </w:p>
        </w:tc>
        <w:tc>
          <w:tcPr>
            <w:tcW w:w="8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18"/>
              </w:rPr>
            </w:pPr>
            <w:r>
              <w:rPr>
                <w:rFonts w:hint="eastAsia" w:ascii="宋体" w:hAnsi="宋体"/>
                <w:b/>
                <w:color w:val="000000"/>
                <w:sz w:val="18"/>
              </w:rPr>
              <w:t>工作地点</w:t>
            </w:r>
          </w:p>
        </w:tc>
        <w:tc>
          <w:tcPr>
            <w:tcW w:w="10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b/>
                <w:color w:val="000000"/>
                <w:sz w:val="18"/>
              </w:rPr>
            </w:pPr>
            <w:r>
              <w:rPr>
                <w:rFonts w:hint="eastAsia" w:ascii="宋体" w:hAnsi="宋体"/>
                <w:b/>
                <w:color w:val="000000"/>
                <w:sz w:val="18"/>
              </w:rPr>
              <w:t>学历要求</w:t>
            </w:r>
          </w:p>
        </w:tc>
        <w:tc>
          <w:tcPr>
            <w:tcW w:w="4799" w:type="dxa"/>
            <w:tcBorders>
              <w:top w:val="single" w:color="auto" w:sz="6" w:space="0"/>
              <w:left w:val="single" w:color="auto" w:sz="6" w:space="0"/>
              <w:bottom w:val="single" w:color="auto" w:sz="4" w:space="0"/>
              <w:right w:val="single" w:color="auto" w:sz="6" w:space="0"/>
              <w:tl2br w:val="nil"/>
              <w:tr2bl w:val="nil"/>
            </w:tcBorders>
            <w:vAlign w:val="center"/>
          </w:tcPr>
          <w:p>
            <w:pPr>
              <w:jc w:val="center"/>
              <w:rPr>
                <w:rFonts w:ascii="宋体" w:hAnsi="宋体"/>
                <w:b/>
                <w:color w:val="000000"/>
                <w:sz w:val="18"/>
              </w:rPr>
            </w:pPr>
            <w:r>
              <w:rPr>
                <w:rFonts w:hint="eastAsia" w:ascii="宋体" w:hAnsi="宋体"/>
                <w:b/>
                <w:color w:val="000000"/>
                <w:sz w:val="18"/>
              </w:rPr>
              <w:t>专业类要求</w:t>
            </w:r>
          </w:p>
        </w:tc>
      </w:tr>
      <w:tr>
        <w:tblPrEx>
          <w:tblCellMar>
            <w:top w:w="0" w:type="dxa"/>
            <w:left w:w="108" w:type="dxa"/>
            <w:bottom w:w="0" w:type="dxa"/>
            <w:right w:w="108" w:type="dxa"/>
          </w:tblCellMar>
        </w:tblPrEx>
        <w:trPr>
          <w:trHeight w:val="573" w:hRule="atLeast"/>
          <w:jc w:val="center"/>
        </w:trPr>
        <w:tc>
          <w:tcPr>
            <w:tcW w:w="628"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hint="eastAsia" w:ascii="宋体" w:hAnsi="宋体" w:eastAsia="宋体"/>
                <w:color w:val="000000"/>
                <w:sz w:val="18"/>
                <w:lang w:eastAsia="zh-CN"/>
              </w:rPr>
            </w:pPr>
            <w:r>
              <w:rPr>
                <w:rFonts w:hint="eastAsia" w:ascii="宋体" w:hAnsi="宋体"/>
                <w:color w:val="000000"/>
                <w:sz w:val="18"/>
                <w:lang w:val="en-US" w:eastAsia="zh-CN"/>
              </w:rPr>
              <w:t>1</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rPr>
            </w:pPr>
            <w:r>
              <w:rPr>
                <w:rFonts w:hint="eastAsia" w:ascii="宋体" w:hAnsi="宋体"/>
                <w:color w:val="000000"/>
                <w:sz w:val="18"/>
              </w:rPr>
              <w:t>化工（化纤）装置操作岗</w:t>
            </w:r>
          </w:p>
        </w:tc>
        <w:tc>
          <w:tcPr>
            <w:tcW w:w="5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 w:val="18"/>
              </w:rPr>
            </w:pPr>
            <w:r>
              <w:rPr>
                <w:rFonts w:hint="eastAsia" w:ascii="宋体" w:hAnsi="宋体"/>
                <w:color w:val="000000"/>
                <w:sz w:val="18"/>
              </w:rPr>
              <w:t>130</w:t>
            </w:r>
          </w:p>
        </w:tc>
        <w:tc>
          <w:tcPr>
            <w:tcW w:w="885"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olor w:val="000000"/>
                <w:sz w:val="18"/>
              </w:rPr>
            </w:pPr>
            <w:r>
              <w:rPr>
                <w:rFonts w:hint="eastAsia" w:ascii="宋体" w:hAnsi="宋体"/>
                <w:color w:val="000000"/>
                <w:sz w:val="18"/>
              </w:rPr>
              <w:t>江苏仪征</w:t>
            </w:r>
          </w:p>
        </w:tc>
        <w:tc>
          <w:tcPr>
            <w:tcW w:w="1039"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宋体" w:hAnsi="宋体"/>
                <w:color w:val="000000"/>
                <w:sz w:val="18"/>
              </w:rPr>
            </w:pPr>
            <w:r>
              <w:rPr>
                <w:rFonts w:hint="eastAsia" w:ascii="宋体" w:hAnsi="宋体"/>
                <w:color w:val="000000"/>
                <w:sz w:val="18"/>
              </w:rPr>
              <w:t>大专（高职）</w:t>
            </w:r>
          </w:p>
        </w:tc>
        <w:tc>
          <w:tcPr>
            <w:tcW w:w="47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000000"/>
                <w:sz w:val="18"/>
              </w:rPr>
            </w:pPr>
            <w:r>
              <w:rPr>
                <w:rFonts w:hint="eastAsia" w:ascii="宋体" w:hAnsi="宋体"/>
                <w:color w:val="000000"/>
                <w:sz w:val="18"/>
              </w:rPr>
              <w:t>石油工程技术、环境工程技术、化工安全技术、环境监测与控制技术、</w:t>
            </w:r>
            <w:r>
              <w:rPr>
                <w:rFonts w:hint="eastAsia" w:ascii="宋体" w:hAnsi="宋体"/>
                <w:b/>
                <w:bCs/>
                <w:color w:val="000000"/>
                <w:sz w:val="18"/>
              </w:rPr>
              <w:t>机械设计与制造、机械制造与自动化、材料成型与控制技术、机电设备维修与管理</w:t>
            </w:r>
            <w:r>
              <w:rPr>
                <w:rFonts w:hint="eastAsia" w:ascii="宋体" w:hAnsi="宋体"/>
                <w:color w:val="000000"/>
                <w:sz w:val="18"/>
              </w:rPr>
              <w:t>、机械装备制造技术、自动化生产设备应用、数控设备应用与维护、机电设备安装技术、</w:t>
            </w:r>
            <w:r>
              <w:rPr>
                <w:rFonts w:hint="eastAsia" w:ascii="宋体" w:hAnsi="宋体"/>
                <w:b/>
                <w:bCs/>
                <w:color w:val="000000"/>
                <w:sz w:val="18"/>
              </w:rPr>
              <w:t>机电设备维修与管理</w:t>
            </w:r>
            <w:r>
              <w:rPr>
                <w:rFonts w:hint="eastAsia" w:ascii="宋体" w:hAnsi="宋体"/>
                <w:color w:val="000000"/>
                <w:sz w:val="18"/>
              </w:rPr>
              <w:t>、电机与电器技术、制冷与空调技术、</w:t>
            </w:r>
            <w:r>
              <w:rPr>
                <w:rFonts w:hint="eastAsia" w:ascii="宋体" w:hAnsi="宋体"/>
                <w:b/>
                <w:bCs/>
                <w:color w:val="000000"/>
                <w:sz w:val="18"/>
              </w:rPr>
              <w:t>机电一体化技术</w:t>
            </w:r>
            <w:r>
              <w:rPr>
                <w:rFonts w:hint="eastAsia" w:ascii="宋体" w:hAnsi="宋体"/>
                <w:color w:val="000000"/>
                <w:sz w:val="18"/>
              </w:rPr>
              <w:t>、智能控制技术、</w:t>
            </w:r>
            <w:r>
              <w:rPr>
                <w:rFonts w:hint="eastAsia" w:ascii="宋体" w:hAnsi="宋体"/>
                <w:b/>
                <w:bCs/>
                <w:color w:val="000000"/>
                <w:sz w:val="18"/>
              </w:rPr>
              <w:t>工业机器人技术</w:t>
            </w:r>
            <w:r>
              <w:rPr>
                <w:rFonts w:hint="eastAsia" w:ascii="宋体" w:hAnsi="宋体"/>
                <w:color w:val="000000"/>
                <w:sz w:val="18"/>
              </w:rPr>
              <w:t>、</w:t>
            </w:r>
            <w:r>
              <w:rPr>
                <w:rFonts w:hint="eastAsia" w:ascii="宋体" w:hAnsi="宋体"/>
                <w:b/>
                <w:bCs/>
                <w:color w:val="000000"/>
                <w:sz w:val="18"/>
              </w:rPr>
              <w:t>电气自动化技术</w:t>
            </w:r>
            <w:r>
              <w:rPr>
                <w:rFonts w:hint="eastAsia" w:ascii="宋体" w:hAnsi="宋体"/>
                <w:color w:val="000000"/>
                <w:sz w:val="18"/>
              </w:rPr>
              <w:t>、工业过程自动化技术、工业自动化仪表技术、液压与气动技术、</w:t>
            </w:r>
            <w:r>
              <w:rPr>
                <w:rFonts w:hint="eastAsia" w:ascii="宋体" w:hAnsi="宋体"/>
                <w:b/>
                <w:bCs/>
                <w:i w:val="0"/>
                <w:iCs w:val="0"/>
                <w:color w:val="000000"/>
                <w:sz w:val="18"/>
              </w:rPr>
              <w:t>应用化工技术</w:t>
            </w:r>
            <w:r>
              <w:rPr>
                <w:rFonts w:hint="eastAsia" w:ascii="宋体" w:hAnsi="宋体"/>
                <w:color w:val="000000"/>
                <w:sz w:val="18"/>
              </w:rPr>
              <w:t>、石油炼制技术、精细化工技术、石油化工技术、高分子合成技术、化学制药技术、</w:t>
            </w:r>
            <w:r>
              <w:rPr>
                <w:rFonts w:hint="eastAsia" w:ascii="宋体" w:hAnsi="宋体"/>
                <w:b/>
                <w:bCs/>
                <w:color w:val="000000"/>
                <w:sz w:val="18"/>
              </w:rPr>
              <w:t>药品生产技术、工业分析技术</w:t>
            </w:r>
            <w:r>
              <w:rPr>
                <w:rFonts w:hint="eastAsia" w:ascii="宋体" w:hAnsi="宋体"/>
                <w:color w:val="000000"/>
                <w:sz w:val="18"/>
              </w:rPr>
              <w:t>、化工智能制造技术、化工装备技术、化工自动化技术、化纤生产技术、</w:t>
            </w:r>
            <w:r>
              <w:rPr>
                <w:rFonts w:hint="eastAsia" w:ascii="宋体" w:hAnsi="宋体"/>
                <w:b/>
                <w:bCs/>
                <w:color w:val="000000"/>
                <w:sz w:val="18"/>
              </w:rPr>
              <w:t>材料工程技术、高分子材料工程技术</w:t>
            </w:r>
            <w:r>
              <w:rPr>
                <w:rFonts w:hint="eastAsia" w:ascii="宋体" w:hAnsi="宋体"/>
                <w:color w:val="000000"/>
                <w:sz w:val="18"/>
              </w:rPr>
              <w:t>、高分子材料加工技术、复合材料工程技术、</w:t>
            </w:r>
            <w:r>
              <w:rPr>
                <w:rFonts w:hint="eastAsia" w:ascii="宋体" w:hAnsi="宋体"/>
                <w:b/>
                <w:bCs/>
                <w:color w:val="000000"/>
                <w:sz w:val="18"/>
              </w:rPr>
              <w:t>数控技术</w:t>
            </w:r>
          </w:p>
        </w:tc>
      </w:tr>
      <w:tr>
        <w:tblPrEx>
          <w:tblCellMar>
            <w:top w:w="0" w:type="dxa"/>
            <w:left w:w="108" w:type="dxa"/>
            <w:bottom w:w="0" w:type="dxa"/>
            <w:right w:w="108" w:type="dxa"/>
          </w:tblCellMar>
        </w:tblPrEx>
        <w:trPr>
          <w:trHeight w:val="573" w:hRule="atLeast"/>
          <w:jc w:val="center"/>
        </w:trPr>
        <w:tc>
          <w:tcPr>
            <w:tcW w:w="628"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rPr>
            </w:pPr>
            <w:r>
              <w:rPr>
                <w:rFonts w:hint="eastAsia" w:ascii="宋体" w:hAnsi="宋体"/>
                <w:color w:val="000000"/>
                <w:sz w:val="18"/>
              </w:rPr>
              <w:t>变配电运行操作岗</w:t>
            </w:r>
          </w:p>
        </w:tc>
        <w:tc>
          <w:tcPr>
            <w:tcW w:w="5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 w:val="18"/>
              </w:rPr>
            </w:pPr>
            <w:r>
              <w:rPr>
                <w:rFonts w:hint="eastAsia" w:ascii="宋体" w:hAnsi="宋体"/>
                <w:color w:val="000000"/>
                <w:sz w:val="18"/>
              </w:rPr>
              <w:t>5</w:t>
            </w:r>
          </w:p>
        </w:tc>
        <w:tc>
          <w:tcPr>
            <w:tcW w:w="885"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olor w:val="000000"/>
                <w:sz w:val="18"/>
              </w:rPr>
            </w:pPr>
            <w:r>
              <w:rPr>
                <w:rFonts w:hint="eastAsia" w:ascii="宋体" w:hAnsi="宋体"/>
                <w:color w:val="000000"/>
                <w:sz w:val="18"/>
              </w:rPr>
              <w:t>江苏仪征</w:t>
            </w:r>
          </w:p>
        </w:tc>
        <w:tc>
          <w:tcPr>
            <w:tcW w:w="1039"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宋体" w:hAnsi="宋体"/>
                <w:color w:val="000000"/>
                <w:sz w:val="18"/>
              </w:rPr>
            </w:pPr>
            <w:r>
              <w:rPr>
                <w:rFonts w:hint="eastAsia" w:ascii="宋体" w:hAnsi="宋体"/>
                <w:color w:val="000000"/>
                <w:sz w:val="18"/>
              </w:rPr>
              <w:t>大专（高职）</w:t>
            </w:r>
          </w:p>
        </w:tc>
        <w:tc>
          <w:tcPr>
            <w:tcW w:w="47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000000"/>
                <w:sz w:val="18"/>
              </w:rPr>
            </w:pPr>
            <w:r>
              <w:rPr>
                <w:rFonts w:hint="eastAsia" w:ascii="宋体" w:hAnsi="宋体"/>
                <w:color w:val="000000"/>
                <w:sz w:val="18"/>
              </w:rPr>
              <w:t>电力系统自动化技术、供用电技术、电厂化学与环保技术、电力系统继电保护与自动化技术</w:t>
            </w:r>
          </w:p>
        </w:tc>
      </w:tr>
    </w:tbl>
    <w:p>
      <w:pPr>
        <w:widowControl/>
        <w:spacing w:line="360" w:lineRule="auto"/>
        <w:ind w:firstLine="640" w:firstLineChars="200"/>
        <w:rPr>
          <w:rFonts w:ascii="黑体" w:hAnsi="宋体" w:eastAsia="黑体"/>
          <w:kern w:val="0"/>
          <w:sz w:val="32"/>
          <w:szCs w:val="32"/>
        </w:rPr>
      </w:pPr>
      <w:r>
        <w:rPr>
          <w:rFonts w:hint="eastAsia" w:ascii="黑体" w:hAnsi="宋体" w:eastAsia="黑体"/>
          <w:kern w:val="0"/>
          <w:sz w:val="32"/>
          <w:szCs w:val="32"/>
        </w:rPr>
        <w:t>三、薪酬福利</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1.成长发展：人才成长通道、职业生涯规划指导、师带徒（“双导师”制）；</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2.住房保障：单间公寓（独立卫浴、空调、暖气）、住房补贴；</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3.薪酬保险：执行中国石化统一薪酬政策，基本工资、月度绩效奖、年终奖、津贴、五险一金+企业年金+补充医疗保险；</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4.员工关怀：高温补贴、就餐补贴、健康体检、困难救助、节日慰问、生日福利；</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5.劳逸结合：带薪年假、探亲假、疗休养；</w:t>
      </w:r>
    </w:p>
    <w:p>
      <w:pPr>
        <w:widowControl/>
        <w:spacing w:line="360" w:lineRule="auto"/>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.人才补贴</w:t>
      </w:r>
      <w:r>
        <w:rPr>
          <w:rFonts w:hint="eastAsia" w:ascii="仿宋_GB2312" w:eastAsia="仿宋_GB2312"/>
          <w:sz w:val="32"/>
          <w:szCs w:val="32"/>
        </w:rPr>
        <w:t>：</w:t>
      </w:r>
      <w:r>
        <w:rPr>
          <w:rFonts w:ascii="仿宋_GB2312" w:eastAsia="仿宋_GB2312"/>
          <w:sz w:val="32"/>
          <w:szCs w:val="32"/>
        </w:rPr>
        <w:t>租房补贴</w:t>
      </w:r>
      <w:r>
        <w:rPr>
          <w:rFonts w:hint="eastAsia" w:ascii="仿宋_GB2312" w:eastAsia="仿宋_GB2312"/>
          <w:sz w:val="32"/>
          <w:szCs w:val="32"/>
        </w:rPr>
        <w:t>、</w:t>
      </w:r>
      <w:r>
        <w:rPr>
          <w:rFonts w:ascii="仿宋_GB2312" w:eastAsia="仿宋_GB2312"/>
          <w:sz w:val="32"/>
          <w:szCs w:val="32"/>
        </w:rPr>
        <w:t>生活补贴</w:t>
      </w:r>
      <w:r>
        <w:rPr>
          <w:rFonts w:hint="eastAsia" w:ascii="仿宋_GB2312" w:eastAsia="仿宋_GB2312"/>
          <w:sz w:val="32"/>
          <w:szCs w:val="32"/>
        </w:rPr>
        <w:t>、</w:t>
      </w:r>
      <w:r>
        <w:rPr>
          <w:rFonts w:ascii="仿宋_GB2312" w:eastAsia="仿宋_GB2312"/>
          <w:sz w:val="32"/>
          <w:szCs w:val="32"/>
        </w:rPr>
        <w:t>购房补贴</w:t>
      </w:r>
      <w:r>
        <w:rPr>
          <w:rFonts w:hint="eastAsia" w:ascii="仿宋_GB2312" w:eastAsia="仿宋_GB2312"/>
          <w:sz w:val="32"/>
          <w:szCs w:val="32"/>
        </w:rPr>
        <w:t>、</w:t>
      </w:r>
      <w:r>
        <w:rPr>
          <w:rFonts w:ascii="仿宋_GB2312" w:eastAsia="仿宋_GB2312"/>
          <w:sz w:val="32"/>
          <w:szCs w:val="32"/>
        </w:rPr>
        <w:t>安家补贴</w:t>
      </w:r>
      <w:r>
        <w:rPr>
          <w:rFonts w:hint="eastAsia" w:ascii="仿宋_GB2312" w:eastAsia="仿宋_GB2312"/>
          <w:sz w:val="32"/>
          <w:szCs w:val="32"/>
        </w:rPr>
        <w:t>。</w:t>
      </w:r>
    </w:p>
    <w:p>
      <w:pPr>
        <w:spacing w:line="360" w:lineRule="auto"/>
        <w:ind w:firstLine="640" w:firstLineChars="200"/>
        <w:rPr>
          <w:rFonts w:ascii="黑体" w:hAnsi="宋体" w:eastAsia="黑体"/>
          <w:kern w:val="0"/>
          <w:sz w:val="32"/>
          <w:szCs w:val="32"/>
        </w:rPr>
      </w:pPr>
      <w:r>
        <w:rPr>
          <w:rFonts w:hint="eastAsia" w:ascii="黑体" w:hAnsi="宋体" w:eastAsia="黑体"/>
          <w:kern w:val="0"/>
          <w:sz w:val="32"/>
          <w:szCs w:val="32"/>
        </w:rPr>
        <w:t>四、招聘要求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1.202</w:t>
      </w:r>
      <w:r>
        <w:rPr>
          <w:rFonts w:ascii="仿宋_GB2312" w:eastAsia="仿宋_GB2312"/>
          <w:sz w:val="32"/>
          <w:szCs w:val="32"/>
        </w:rPr>
        <w:t>4</w:t>
      </w:r>
      <w:r>
        <w:rPr>
          <w:rFonts w:hint="eastAsia" w:ascii="仿宋_GB2312" w:eastAsia="仿宋_GB2312"/>
          <w:sz w:val="32"/>
          <w:szCs w:val="32"/>
        </w:rPr>
        <w:t>年全国普通高等院校统招统分应届毕业生（定向、委培除外），回国（境）后初次就业且具有教育部留学服务中心派遣资格的国（境）外留学生（毕业时间在202</w:t>
      </w:r>
      <w:r>
        <w:rPr>
          <w:rFonts w:ascii="仿宋_GB2312" w:eastAsia="仿宋_GB2312"/>
          <w:sz w:val="32"/>
          <w:szCs w:val="32"/>
        </w:rPr>
        <w:t>3</w:t>
      </w:r>
      <w:r>
        <w:rPr>
          <w:rFonts w:hint="eastAsia" w:ascii="仿宋_GB2312" w:eastAsia="仿宋_GB2312"/>
          <w:sz w:val="32"/>
          <w:szCs w:val="32"/>
        </w:rPr>
        <w:t>年1月1日至202</w:t>
      </w:r>
      <w:r>
        <w:rPr>
          <w:rFonts w:ascii="仿宋_GB2312" w:eastAsia="仿宋_GB2312"/>
          <w:sz w:val="32"/>
          <w:szCs w:val="32"/>
        </w:rPr>
        <w:t>4</w:t>
      </w:r>
      <w:r>
        <w:rPr>
          <w:rFonts w:hint="eastAsia" w:ascii="仿宋_GB2312" w:eastAsia="仿宋_GB2312"/>
          <w:sz w:val="32"/>
          <w:szCs w:val="32"/>
        </w:rPr>
        <w:t>年12月31日期间）；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2.本科CET-4成绩不低于425分、硕研及以上学历CET-6成绩不低于425分，大专（高职）无外语要求；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3.遵纪守法，品行端正，团结协作，无不良行为记录，热爱石油石化事业，认同中国石化企业文化和价值观;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4.身心健康，能适应岗位工作需要。</w:t>
      </w:r>
    </w:p>
    <w:p>
      <w:pPr>
        <w:widowControl/>
        <w:spacing w:line="360" w:lineRule="auto"/>
        <w:ind w:firstLine="640" w:firstLineChars="200"/>
        <w:rPr>
          <w:rFonts w:ascii="黑体" w:hAnsi="黑体" w:eastAsia="黑体"/>
          <w:kern w:val="0"/>
          <w:sz w:val="32"/>
          <w:szCs w:val="32"/>
        </w:rPr>
      </w:pPr>
      <w:r>
        <w:rPr>
          <w:rFonts w:hint="eastAsia" w:ascii="黑体" w:hAnsi="黑体" w:eastAsia="黑体"/>
          <w:kern w:val="0"/>
          <w:sz w:val="32"/>
          <w:szCs w:val="32"/>
        </w:rPr>
        <w:t>五、招聘程序</w:t>
      </w:r>
    </w:p>
    <w:p>
      <w:pPr>
        <w:spacing w:line="360" w:lineRule="auto"/>
        <w:jc w:val="center"/>
        <w:rPr>
          <w:rFonts w:ascii="仿宋_GB2312" w:eastAsia="仿宋_GB2312"/>
          <w:sz w:val="32"/>
          <w:szCs w:val="32"/>
        </w:rPr>
      </w:pPr>
      <w:r>
        <w:rPr>
          <w:rFonts w:ascii="仿宋_GB2312" w:eastAsia="仿宋_GB2312"/>
          <w:sz w:val="32"/>
          <w:szCs w:val="32"/>
        </w:rPr>
        <w:drawing>
          <wp:inline distT="0" distB="0" distL="0" distR="0">
            <wp:extent cx="3552825" cy="17995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26675" cy="1837282"/>
                    </a:xfrm>
                    <a:prstGeom prst="rect">
                      <a:avLst/>
                    </a:prstGeom>
                    <a:noFill/>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登录中国石化招聘网站：http://job.sinopec.com，点击【校园招聘】，注册后，在【炼化企业】中应聘【仪征化纤】。</w:t>
      </w:r>
    </w:p>
    <w:p>
      <w:pPr>
        <w:spacing w:line="360" w:lineRule="auto"/>
        <w:ind w:firstLine="640" w:firstLineChars="200"/>
        <w:rPr>
          <w:rFonts w:ascii="仿宋_GB2312" w:eastAsia="仿宋_GB2312"/>
          <w:sz w:val="32"/>
          <w:szCs w:val="32"/>
        </w:rPr>
      </w:pPr>
      <w:r>
        <w:rPr>
          <w:rFonts w:hint="eastAsia" w:ascii="仿宋_GB2312" w:eastAsia="仿宋_GB2312"/>
          <w:sz w:val="32"/>
          <w:szCs w:val="32"/>
          <w:highlight w:val="yellow"/>
        </w:rPr>
        <w:t>11月</w:t>
      </w:r>
      <w:r>
        <w:rPr>
          <w:rFonts w:ascii="仿宋_GB2312" w:eastAsia="仿宋_GB2312"/>
          <w:sz w:val="32"/>
          <w:szCs w:val="32"/>
          <w:highlight w:val="yellow"/>
        </w:rPr>
        <w:t>3</w:t>
      </w:r>
      <w:r>
        <w:rPr>
          <w:rFonts w:hint="eastAsia" w:ascii="仿宋_GB2312" w:eastAsia="仿宋_GB2312"/>
          <w:sz w:val="32"/>
          <w:szCs w:val="32"/>
          <w:highlight w:val="yellow"/>
        </w:rPr>
        <w:t>日</w:t>
      </w:r>
      <w:r>
        <w:rPr>
          <w:rFonts w:hint="eastAsia" w:ascii="仿宋_GB2312" w:eastAsia="仿宋_GB2312"/>
          <w:sz w:val="32"/>
          <w:szCs w:val="32"/>
        </w:rPr>
        <w:t>报名截止，</w:t>
      </w:r>
      <w:r>
        <w:rPr>
          <w:rFonts w:hint="eastAsia" w:ascii="仿宋_GB2312" w:eastAsia="仿宋_GB2312"/>
          <w:sz w:val="32"/>
          <w:szCs w:val="32"/>
          <w:highlight w:val="yellow"/>
        </w:rPr>
        <w:t>11月</w:t>
      </w:r>
      <w:r>
        <w:rPr>
          <w:rFonts w:ascii="仿宋_GB2312" w:eastAsia="仿宋_GB2312"/>
          <w:sz w:val="32"/>
          <w:szCs w:val="32"/>
          <w:highlight w:val="yellow"/>
        </w:rPr>
        <w:t>12</w:t>
      </w:r>
      <w:r>
        <w:rPr>
          <w:rFonts w:hint="eastAsia" w:ascii="仿宋_GB2312" w:eastAsia="仿宋_GB2312"/>
          <w:sz w:val="32"/>
          <w:szCs w:val="32"/>
          <w:highlight w:val="yellow"/>
        </w:rPr>
        <w:t>日</w:t>
      </w:r>
      <w:r>
        <w:rPr>
          <w:rFonts w:hint="eastAsia" w:ascii="仿宋_GB2312" w:eastAsia="仿宋_GB2312"/>
          <w:sz w:val="32"/>
          <w:szCs w:val="32"/>
        </w:rPr>
        <w:t>组织统一初选考试。</w:t>
      </w:r>
    </w:p>
    <w:p>
      <w:pPr>
        <w:widowControl/>
        <w:spacing w:line="360" w:lineRule="auto"/>
        <w:ind w:firstLine="640" w:firstLineChars="200"/>
        <w:rPr>
          <w:rFonts w:ascii="黑体" w:hAnsi="黑体" w:eastAsia="黑体"/>
          <w:kern w:val="0"/>
          <w:sz w:val="32"/>
          <w:szCs w:val="32"/>
        </w:rPr>
      </w:pPr>
      <w:r>
        <w:rPr>
          <w:rFonts w:hint="eastAsia" w:ascii="黑体" w:hAnsi="黑体" w:eastAsia="黑体"/>
          <w:kern w:val="0"/>
          <w:sz w:val="32"/>
          <w:szCs w:val="32"/>
        </w:rPr>
        <w:t>六、联系方式</w:t>
      </w:r>
    </w:p>
    <w:p>
      <w:pPr>
        <w:widowControl/>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联系人：罗老师</w:t>
      </w:r>
    </w:p>
    <w:p>
      <w:pPr>
        <w:widowControl/>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电话：0514-83236708</w:t>
      </w:r>
    </w:p>
    <w:p>
      <w:pPr>
        <w:widowControl/>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电子邮箱：</w:t>
      </w:r>
      <w:r>
        <w:fldChar w:fldCharType="begin"/>
      </w:r>
      <w:r>
        <w:instrText xml:space="preserve"> HYPERLINK "mailto:zhaopin.yzhx@sinopec.com" </w:instrText>
      </w:r>
      <w:r>
        <w:fldChar w:fldCharType="separate"/>
      </w:r>
      <w:r>
        <w:rPr>
          <w:rFonts w:hint="eastAsia" w:ascii="仿宋_GB2312" w:eastAsia="仿宋_GB2312"/>
          <w:kern w:val="0"/>
          <w:sz w:val="32"/>
          <w:szCs w:val="32"/>
        </w:rPr>
        <w:t>zhaopin.yzhx@sinopec.com</w:t>
      </w:r>
      <w:r>
        <w:rPr>
          <w:rFonts w:hint="eastAsia" w:ascii="仿宋_GB2312" w:eastAsia="仿宋_GB2312"/>
          <w:kern w:val="0"/>
          <w:sz w:val="32"/>
          <w:szCs w:val="32"/>
        </w:rPr>
        <w:fldChar w:fldCharType="end"/>
      </w:r>
    </w:p>
    <w:p>
      <w:pPr>
        <w:widowControl/>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钉钉交流群：</w:t>
      </w:r>
    </w:p>
    <w:p>
      <w:pPr>
        <w:spacing w:line="360" w:lineRule="auto"/>
        <w:ind w:firstLine="640" w:firstLineChars="200"/>
        <w:jc w:val="center"/>
        <w:rPr>
          <w:rFonts w:ascii="仿宋_GB2312" w:hAnsi="Calibri" w:eastAsia="仿宋_GB2312"/>
          <w:sz w:val="32"/>
          <w:szCs w:val="32"/>
        </w:rPr>
      </w:pPr>
      <w:r>
        <w:rPr>
          <w:rFonts w:hint="eastAsia" w:ascii="仿宋_GB2312" w:hAnsi="Calibri" w:eastAsia="仿宋_GB2312"/>
          <w:sz w:val="32"/>
          <w:szCs w:val="32"/>
        </w:rPr>
        <w:drawing>
          <wp:inline distT="0" distB="0" distL="0" distR="0">
            <wp:extent cx="1647825" cy="1590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344" cy="1632273"/>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97954"/>
    <w:multiLevelType w:val="singleLevel"/>
    <w:tmpl w:val="F86979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2ZGNhNWJiMGFjMDcxYjBhM2YyODZiMmY4MzYzOGQifQ=="/>
  </w:docVars>
  <w:rsids>
    <w:rsidRoot w:val="00172A27"/>
    <w:rsid w:val="00021BD3"/>
    <w:rsid w:val="00032C67"/>
    <w:rsid w:val="0004163C"/>
    <w:rsid w:val="00042F06"/>
    <w:rsid w:val="00043342"/>
    <w:rsid w:val="000554D1"/>
    <w:rsid w:val="00060448"/>
    <w:rsid w:val="00063FE9"/>
    <w:rsid w:val="00071761"/>
    <w:rsid w:val="00082F3D"/>
    <w:rsid w:val="000842CD"/>
    <w:rsid w:val="00091833"/>
    <w:rsid w:val="000964AC"/>
    <w:rsid w:val="000A2F31"/>
    <w:rsid w:val="000D7FF1"/>
    <w:rsid w:val="000F0415"/>
    <w:rsid w:val="000F382D"/>
    <w:rsid w:val="000F3E06"/>
    <w:rsid w:val="000F7CA5"/>
    <w:rsid w:val="00121F2F"/>
    <w:rsid w:val="0013060D"/>
    <w:rsid w:val="0013061A"/>
    <w:rsid w:val="00133ACA"/>
    <w:rsid w:val="001377D4"/>
    <w:rsid w:val="001475DA"/>
    <w:rsid w:val="00150E04"/>
    <w:rsid w:val="00166B26"/>
    <w:rsid w:val="00172A27"/>
    <w:rsid w:val="001813B9"/>
    <w:rsid w:val="0018397A"/>
    <w:rsid w:val="001910D5"/>
    <w:rsid w:val="00195A1C"/>
    <w:rsid w:val="00196217"/>
    <w:rsid w:val="001A4D4E"/>
    <w:rsid w:val="001C206D"/>
    <w:rsid w:val="001D2DD2"/>
    <w:rsid w:val="001F74CD"/>
    <w:rsid w:val="002169F2"/>
    <w:rsid w:val="00233C25"/>
    <w:rsid w:val="002360FF"/>
    <w:rsid w:val="0023737E"/>
    <w:rsid w:val="00241517"/>
    <w:rsid w:val="00255609"/>
    <w:rsid w:val="00263660"/>
    <w:rsid w:val="002646E0"/>
    <w:rsid w:val="00274CBD"/>
    <w:rsid w:val="00280F0C"/>
    <w:rsid w:val="002B0DF0"/>
    <w:rsid w:val="002B3916"/>
    <w:rsid w:val="002C0FCD"/>
    <w:rsid w:val="002C46E7"/>
    <w:rsid w:val="002F3A06"/>
    <w:rsid w:val="00311757"/>
    <w:rsid w:val="00311A9B"/>
    <w:rsid w:val="00357BB2"/>
    <w:rsid w:val="00361CF0"/>
    <w:rsid w:val="00362263"/>
    <w:rsid w:val="003629CF"/>
    <w:rsid w:val="0037276F"/>
    <w:rsid w:val="00380E33"/>
    <w:rsid w:val="003869F1"/>
    <w:rsid w:val="003968A5"/>
    <w:rsid w:val="003A115E"/>
    <w:rsid w:val="003A2DCD"/>
    <w:rsid w:val="004370DD"/>
    <w:rsid w:val="004443BE"/>
    <w:rsid w:val="004754F3"/>
    <w:rsid w:val="004773BB"/>
    <w:rsid w:val="004A0366"/>
    <w:rsid w:val="004A6655"/>
    <w:rsid w:val="004B0D22"/>
    <w:rsid w:val="004B630D"/>
    <w:rsid w:val="004C70EC"/>
    <w:rsid w:val="004F1BB9"/>
    <w:rsid w:val="005368F0"/>
    <w:rsid w:val="005417C4"/>
    <w:rsid w:val="00550E28"/>
    <w:rsid w:val="00561D6C"/>
    <w:rsid w:val="00567CCA"/>
    <w:rsid w:val="00573D99"/>
    <w:rsid w:val="00576491"/>
    <w:rsid w:val="0058463B"/>
    <w:rsid w:val="005853AE"/>
    <w:rsid w:val="005901A7"/>
    <w:rsid w:val="0059328C"/>
    <w:rsid w:val="00594A8E"/>
    <w:rsid w:val="005A2C03"/>
    <w:rsid w:val="005B2E93"/>
    <w:rsid w:val="005B6064"/>
    <w:rsid w:val="005C1C53"/>
    <w:rsid w:val="005D0C04"/>
    <w:rsid w:val="005D2B16"/>
    <w:rsid w:val="005D4BA6"/>
    <w:rsid w:val="005F235F"/>
    <w:rsid w:val="005F7E45"/>
    <w:rsid w:val="00607FD9"/>
    <w:rsid w:val="006136D3"/>
    <w:rsid w:val="00620DB5"/>
    <w:rsid w:val="006221CC"/>
    <w:rsid w:val="006248D4"/>
    <w:rsid w:val="00660169"/>
    <w:rsid w:val="0066119B"/>
    <w:rsid w:val="00661C1D"/>
    <w:rsid w:val="00670E16"/>
    <w:rsid w:val="0067299E"/>
    <w:rsid w:val="00696353"/>
    <w:rsid w:val="006B72B4"/>
    <w:rsid w:val="006C1808"/>
    <w:rsid w:val="006C294D"/>
    <w:rsid w:val="006D1E57"/>
    <w:rsid w:val="006D5943"/>
    <w:rsid w:val="00703AB4"/>
    <w:rsid w:val="00704892"/>
    <w:rsid w:val="00704C26"/>
    <w:rsid w:val="00706458"/>
    <w:rsid w:val="00706B81"/>
    <w:rsid w:val="00726798"/>
    <w:rsid w:val="007274AE"/>
    <w:rsid w:val="00744E88"/>
    <w:rsid w:val="0077013C"/>
    <w:rsid w:val="00777CD7"/>
    <w:rsid w:val="00781605"/>
    <w:rsid w:val="007A4BBC"/>
    <w:rsid w:val="007B07AF"/>
    <w:rsid w:val="007B14D4"/>
    <w:rsid w:val="007B2EC7"/>
    <w:rsid w:val="007F45BC"/>
    <w:rsid w:val="007F56E6"/>
    <w:rsid w:val="008136C2"/>
    <w:rsid w:val="00833D9D"/>
    <w:rsid w:val="00842034"/>
    <w:rsid w:val="0084363E"/>
    <w:rsid w:val="00852E93"/>
    <w:rsid w:val="00864143"/>
    <w:rsid w:val="00867C19"/>
    <w:rsid w:val="0087540F"/>
    <w:rsid w:val="00892E7F"/>
    <w:rsid w:val="008A59EE"/>
    <w:rsid w:val="008A7042"/>
    <w:rsid w:val="008A7455"/>
    <w:rsid w:val="008B3D58"/>
    <w:rsid w:val="008C2EE7"/>
    <w:rsid w:val="008C3B1C"/>
    <w:rsid w:val="008D6516"/>
    <w:rsid w:val="008E0ED6"/>
    <w:rsid w:val="008E4B33"/>
    <w:rsid w:val="008F1CA3"/>
    <w:rsid w:val="00904FB4"/>
    <w:rsid w:val="00907299"/>
    <w:rsid w:val="0091244E"/>
    <w:rsid w:val="009321EE"/>
    <w:rsid w:val="00944712"/>
    <w:rsid w:val="0095236B"/>
    <w:rsid w:val="00960A6B"/>
    <w:rsid w:val="009621FC"/>
    <w:rsid w:val="009750CC"/>
    <w:rsid w:val="009764A4"/>
    <w:rsid w:val="009A6536"/>
    <w:rsid w:val="009A7510"/>
    <w:rsid w:val="009C6612"/>
    <w:rsid w:val="009D55F3"/>
    <w:rsid w:val="00A21E0F"/>
    <w:rsid w:val="00A222A0"/>
    <w:rsid w:val="00A35CC0"/>
    <w:rsid w:val="00A37AAC"/>
    <w:rsid w:val="00A45DD6"/>
    <w:rsid w:val="00A47E3D"/>
    <w:rsid w:val="00A74951"/>
    <w:rsid w:val="00A760F7"/>
    <w:rsid w:val="00A934AA"/>
    <w:rsid w:val="00A95A15"/>
    <w:rsid w:val="00A95B10"/>
    <w:rsid w:val="00AA5BC9"/>
    <w:rsid w:val="00AB0AD3"/>
    <w:rsid w:val="00AB1767"/>
    <w:rsid w:val="00AB4927"/>
    <w:rsid w:val="00AB52E6"/>
    <w:rsid w:val="00AD292B"/>
    <w:rsid w:val="00AD57EC"/>
    <w:rsid w:val="00AD6BF2"/>
    <w:rsid w:val="00AE3908"/>
    <w:rsid w:val="00AF4180"/>
    <w:rsid w:val="00B05D4B"/>
    <w:rsid w:val="00B06C84"/>
    <w:rsid w:val="00B115DF"/>
    <w:rsid w:val="00B1386F"/>
    <w:rsid w:val="00B25BC5"/>
    <w:rsid w:val="00B35649"/>
    <w:rsid w:val="00B44D89"/>
    <w:rsid w:val="00B50660"/>
    <w:rsid w:val="00B52351"/>
    <w:rsid w:val="00B666A4"/>
    <w:rsid w:val="00B74E9F"/>
    <w:rsid w:val="00B85D53"/>
    <w:rsid w:val="00B97FD7"/>
    <w:rsid w:val="00BA37E5"/>
    <w:rsid w:val="00BB2D02"/>
    <w:rsid w:val="00BB65E2"/>
    <w:rsid w:val="00BC2669"/>
    <w:rsid w:val="00BE302B"/>
    <w:rsid w:val="00C05576"/>
    <w:rsid w:val="00C12D7A"/>
    <w:rsid w:val="00C37469"/>
    <w:rsid w:val="00C37A27"/>
    <w:rsid w:val="00C443E5"/>
    <w:rsid w:val="00C55A5F"/>
    <w:rsid w:val="00C574BC"/>
    <w:rsid w:val="00C607F5"/>
    <w:rsid w:val="00C72897"/>
    <w:rsid w:val="00C74FFE"/>
    <w:rsid w:val="00C847CE"/>
    <w:rsid w:val="00C9416D"/>
    <w:rsid w:val="00C97619"/>
    <w:rsid w:val="00CB1A67"/>
    <w:rsid w:val="00CB4C6D"/>
    <w:rsid w:val="00CB52D4"/>
    <w:rsid w:val="00CB5860"/>
    <w:rsid w:val="00CC42D1"/>
    <w:rsid w:val="00CD080C"/>
    <w:rsid w:val="00CF6B3C"/>
    <w:rsid w:val="00D161C2"/>
    <w:rsid w:val="00D27B08"/>
    <w:rsid w:val="00D37FA3"/>
    <w:rsid w:val="00D44A4D"/>
    <w:rsid w:val="00D54414"/>
    <w:rsid w:val="00D61336"/>
    <w:rsid w:val="00D632D7"/>
    <w:rsid w:val="00D64C2B"/>
    <w:rsid w:val="00D7444A"/>
    <w:rsid w:val="00D874BA"/>
    <w:rsid w:val="00DB0903"/>
    <w:rsid w:val="00DB2CC0"/>
    <w:rsid w:val="00DB490C"/>
    <w:rsid w:val="00DD27FB"/>
    <w:rsid w:val="00DE6DF9"/>
    <w:rsid w:val="00DF7F4C"/>
    <w:rsid w:val="00E029B0"/>
    <w:rsid w:val="00E07F3E"/>
    <w:rsid w:val="00E107A6"/>
    <w:rsid w:val="00E141E6"/>
    <w:rsid w:val="00E17E20"/>
    <w:rsid w:val="00E52A99"/>
    <w:rsid w:val="00E5630C"/>
    <w:rsid w:val="00E643BC"/>
    <w:rsid w:val="00E673FA"/>
    <w:rsid w:val="00E70F18"/>
    <w:rsid w:val="00E7495B"/>
    <w:rsid w:val="00ED2C96"/>
    <w:rsid w:val="00EE33E8"/>
    <w:rsid w:val="00EF65E9"/>
    <w:rsid w:val="00F1576C"/>
    <w:rsid w:val="00F23BB0"/>
    <w:rsid w:val="00F90066"/>
    <w:rsid w:val="00F9343E"/>
    <w:rsid w:val="00FA2DBD"/>
    <w:rsid w:val="00FA6847"/>
    <w:rsid w:val="00FC2E0C"/>
    <w:rsid w:val="00FC60B1"/>
    <w:rsid w:val="00FC71A6"/>
    <w:rsid w:val="00FD554D"/>
    <w:rsid w:val="00FE608E"/>
    <w:rsid w:val="00FF6195"/>
    <w:rsid w:val="0F831DFD"/>
    <w:rsid w:val="51F508B0"/>
    <w:rsid w:val="69A4119C"/>
    <w:rsid w:val="69AA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qFormat/>
    <w:uiPriority w:val="0"/>
    <w:rPr>
      <w:color w:val="5A5A5A"/>
      <w:u w:val="none"/>
    </w:rPr>
  </w:style>
  <w:style w:type="character" w:customStyle="1" w:styleId="10">
    <w:name w:val="hei141"/>
    <w:qFormat/>
    <w:uiPriority w:val="0"/>
    <w:rPr>
      <w:color w:val="000000"/>
      <w:sz w:val="21"/>
      <w:szCs w:val="21"/>
    </w:rPr>
  </w:style>
  <w:style w:type="character" w:customStyle="1" w:styleId="11">
    <w:name w:val="font2001"/>
    <w:qFormat/>
    <w:uiPriority w:val="0"/>
    <w:rPr>
      <w:color w:val="000000"/>
      <w:sz w:val="18"/>
      <w:szCs w:val="18"/>
      <w:u w:val="none"/>
    </w:rPr>
  </w:style>
  <w:style w:type="character" w:customStyle="1" w:styleId="12">
    <w:name w:val="f141"/>
    <w:qFormat/>
    <w:uiPriority w:val="0"/>
    <w:rPr>
      <w:sz w:val="14"/>
      <w:szCs w:val="14"/>
    </w:rPr>
  </w:style>
  <w:style w:type="character" w:customStyle="1" w:styleId="13">
    <w:name w:val="页脚 Char"/>
    <w:link w:val="3"/>
    <w:qFormat/>
    <w:uiPriority w:val="99"/>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1114</Words>
  <Characters>1213</Characters>
  <Lines>17</Lines>
  <Paragraphs>4</Paragraphs>
  <TotalTime>0</TotalTime>
  <ScaleCrop>false</ScaleCrop>
  <LinksUpToDate>false</LinksUpToDate>
  <CharactersWithSpaces>1213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2019-09-09T07:53:00Z</dcterms:created>
  <dc:creator>微软用户</dc:creator>
  <cp:lastModifiedBy>hp</cp:lastModifiedBy>
  <cp:lastPrinted>2019-09-10T03:53:00Z</cp:lastPrinted>
  <dcterms:modified xsi:type="dcterms:W3CDTF">2023-10-10T14:35:49Z</dcterms:modified>
  <dc:title>中国石化仪征化纤股份公司位于江苏省扬州市化学工业园区，东距“两堤花柳全依水，一路楼台直到山”的瘦西湖约30公里，西距“山环水抱、葱笼毓秀”的南京约50公里；是国家“六五”至“十五”计划期间重点建设项目，主要从事生产及销售聚酯切片和涤纶纤维业务，并生产聚酯主要原料精对苯二甲酸（PTA)</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04C2A38389A4416FB8863492FB3F749B</vt:lpwstr>
  </property>
</Properties>
</file>